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571E" w14:textId="77777777" w:rsidR="00EA0CDC" w:rsidRPr="00056A90" w:rsidRDefault="00EA0CDC" w:rsidP="00EA0CDC">
      <w:pPr>
        <w:pStyle w:val="1"/>
        <w:spacing w:after="240"/>
        <w:jc w:val="center"/>
      </w:pPr>
      <w:bookmarkStart w:id="0" w:name="_Toc480205408"/>
      <w:r w:rsidRPr="00056A90">
        <w:rPr>
          <w:rFonts w:hint="eastAsia"/>
        </w:rPr>
        <w:t>登園許可書</w:t>
      </w:r>
      <w:bookmarkEnd w:id="0"/>
    </w:p>
    <w:p w14:paraId="79BFD41D" w14:textId="77777777" w:rsidR="00EA0CDC" w:rsidRDefault="009E6814" w:rsidP="00EA0CDC">
      <w:pPr>
        <w:spacing w:line="36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子すずめ保育園・園長殿</w:t>
      </w:r>
    </w:p>
    <w:p w14:paraId="4F3961E8" w14:textId="4C52C2F7" w:rsidR="00EA0CDC" w:rsidRPr="004F59AE" w:rsidRDefault="00EA0CDC" w:rsidP="00D477B5">
      <w:pPr>
        <w:spacing w:line="276" w:lineRule="auto"/>
        <w:rPr>
          <w:rFonts w:ascii="HG丸ｺﾞｼｯｸM-PRO" w:eastAsia="HG丸ｺﾞｼｯｸM-PRO" w:hAnsi="HG丸ｺﾞｼｯｸM-PRO"/>
          <w:sz w:val="22"/>
          <w:szCs w:val="22"/>
        </w:rPr>
      </w:pPr>
      <w:r w:rsidRPr="004F59AE">
        <w:rPr>
          <w:rFonts w:ascii="HG丸ｺﾞｼｯｸM-PRO" w:eastAsia="HG丸ｺﾞｼｯｸM-PRO" w:hAnsi="HG丸ｺﾞｼｯｸM-PRO" w:hint="eastAsia"/>
          <w:sz w:val="22"/>
          <w:szCs w:val="22"/>
        </w:rPr>
        <w:t xml:space="preserve">下記の疾患で　　　　</w:t>
      </w:r>
      <w:r w:rsidR="00BB2549">
        <w:rPr>
          <w:rFonts w:ascii="HG丸ｺﾞｼｯｸM-PRO" w:eastAsia="HG丸ｺﾞｼｯｸM-PRO" w:hAnsi="HG丸ｺﾞｼｯｸM-PRO" w:hint="eastAsia"/>
          <w:sz w:val="22"/>
          <w:szCs w:val="22"/>
        </w:rPr>
        <w:t>令和</w:t>
      </w:r>
      <w:r w:rsidRPr="004F59AE">
        <w:rPr>
          <w:rFonts w:ascii="HG丸ｺﾞｼｯｸM-PRO" w:eastAsia="HG丸ｺﾞｼｯｸM-PRO" w:hAnsi="HG丸ｺﾞｼｯｸM-PRO" w:hint="eastAsia"/>
          <w:sz w:val="22"/>
          <w:szCs w:val="22"/>
        </w:rPr>
        <w:t xml:space="preserve">　　　年　　　月　　　日から治療中のところ現在軽快し他児への感染の恐れはないと思われますので　</w:t>
      </w:r>
      <w:r w:rsidR="00D477B5">
        <w:rPr>
          <w:rFonts w:ascii="HG丸ｺﾞｼｯｸM-PRO" w:eastAsia="HG丸ｺﾞｼｯｸM-PRO" w:hAnsi="HG丸ｺﾞｼｯｸM-PRO" w:hint="eastAsia"/>
          <w:sz w:val="22"/>
          <w:szCs w:val="22"/>
        </w:rPr>
        <w:t>令和</w:t>
      </w:r>
      <w:r w:rsidRPr="004F59AE">
        <w:rPr>
          <w:rFonts w:ascii="HG丸ｺﾞｼｯｸM-PRO" w:eastAsia="HG丸ｺﾞｼｯｸM-PRO" w:hAnsi="HG丸ｺﾞｼｯｸM-PRO" w:hint="eastAsia"/>
          <w:sz w:val="22"/>
          <w:szCs w:val="22"/>
        </w:rPr>
        <w:t xml:space="preserve">　　　年　　　月　　　日より登園可能と認めます</w:t>
      </w:r>
      <w:r>
        <w:rPr>
          <w:rFonts w:ascii="HG丸ｺﾞｼｯｸM-PRO" w:eastAsia="HG丸ｺﾞｼｯｸM-PRO" w:hAnsi="HG丸ｺﾞｼｯｸM-PRO" w:hint="eastAsia"/>
          <w:sz w:val="22"/>
          <w:szCs w:val="22"/>
        </w:rPr>
        <w:t>。</w:t>
      </w:r>
    </w:p>
    <w:p w14:paraId="676DE768" w14:textId="77777777" w:rsidR="00EA0CDC" w:rsidRPr="009758F3" w:rsidRDefault="00EA0CDC" w:rsidP="00EA0CDC">
      <w:pPr>
        <w:spacing w:beforeLines="150" w:before="540" w:afterLines="100" w:after="360"/>
        <w:rPr>
          <w:rFonts w:ascii="HG丸ｺﾞｼｯｸM-PRO" w:eastAsia="HG丸ｺﾞｼｯｸM-PRO" w:hAnsi="HG丸ｺﾞｼｯｸM-PRO"/>
          <w:b/>
          <w:u w:val="single"/>
        </w:rPr>
      </w:pPr>
      <w:r w:rsidRPr="009758F3">
        <w:rPr>
          <w:rFonts w:ascii="HG丸ｺﾞｼｯｸM-PRO" w:eastAsia="HG丸ｺﾞｼｯｸM-PRO" w:hAnsi="HG丸ｺﾞｼｯｸM-PRO" w:hint="eastAsia"/>
          <w:b/>
          <w:u w:val="single"/>
        </w:rPr>
        <w:t xml:space="preserve">園児氏名　　　　　　　　　　　　</w:t>
      </w:r>
    </w:p>
    <w:p w14:paraId="7E5370B8" w14:textId="489CBC32" w:rsidR="00EA0CDC" w:rsidRPr="009758F3" w:rsidRDefault="00BB2549" w:rsidP="00EA0CDC">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令和</w:t>
      </w:r>
      <w:r w:rsidR="00EA0CDC" w:rsidRPr="009758F3">
        <w:rPr>
          <w:rFonts w:ascii="HG丸ｺﾞｼｯｸM-PRO" w:eastAsia="HG丸ｺﾞｼｯｸM-PRO" w:hAnsi="HG丸ｺﾞｼｯｸM-PRO" w:hint="eastAsia"/>
          <w:b/>
          <w:u w:val="single"/>
        </w:rPr>
        <w:t xml:space="preserve">　　　年　　　月　　　日</w:t>
      </w:r>
    </w:p>
    <w:p w14:paraId="62185148" w14:textId="77777777" w:rsidR="00EA0CDC" w:rsidRPr="009758F3" w:rsidRDefault="00EA0CDC" w:rsidP="00EA0CDC">
      <w:pPr>
        <w:spacing w:before="240" w:after="240"/>
        <w:jc w:val="center"/>
        <w:rPr>
          <w:rFonts w:ascii="HG丸ｺﾞｼｯｸM-PRO" w:eastAsia="HG丸ｺﾞｼｯｸM-PRO" w:hAnsi="HG丸ｺﾞｼｯｸM-PRO"/>
          <w:b/>
          <w:u w:val="single"/>
        </w:rPr>
      </w:pPr>
      <w:r w:rsidRPr="009758F3">
        <w:rPr>
          <w:rFonts w:ascii="HG丸ｺﾞｼｯｸM-PRO" w:eastAsia="HG丸ｺﾞｼｯｸM-PRO" w:hAnsi="HG丸ｺﾞｼｯｸM-PRO" w:hint="eastAsia"/>
          <w:b/>
          <w:u w:val="single"/>
        </w:rPr>
        <w:t xml:space="preserve">医療機関名　　　　　　　　　　　　</w:t>
      </w:r>
      <w:r>
        <w:rPr>
          <w:rFonts w:ascii="HG丸ｺﾞｼｯｸM-PRO" w:eastAsia="HG丸ｺﾞｼｯｸM-PRO" w:hAnsi="HG丸ｺﾞｼｯｸM-PRO" w:hint="eastAsia"/>
          <w:b/>
          <w:u w:val="single"/>
        </w:rPr>
        <w:t xml:space="preserve">　　</w:t>
      </w:r>
      <w:r w:rsidRPr="009758F3">
        <w:rPr>
          <w:rFonts w:ascii="HG丸ｺﾞｼｯｸM-PRO" w:eastAsia="HG丸ｺﾞｼｯｸM-PRO" w:hAnsi="HG丸ｺﾞｼｯｸM-PRO" w:hint="eastAsia"/>
          <w:b/>
          <w:u w:val="single"/>
        </w:rPr>
        <w:t xml:space="preserve">　　</w:t>
      </w:r>
    </w:p>
    <w:p w14:paraId="59F31C88" w14:textId="77777777" w:rsidR="00EA0CDC" w:rsidRPr="009758F3" w:rsidRDefault="00EA0CDC" w:rsidP="00EA0CDC">
      <w:pPr>
        <w:jc w:val="right"/>
        <w:rPr>
          <w:rFonts w:ascii="HG丸ｺﾞｼｯｸM-PRO" w:eastAsia="HG丸ｺﾞｼｯｸM-PRO" w:hAnsi="HG丸ｺﾞｼｯｸM-PRO"/>
          <w:b/>
          <w:u w:val="single"/>
        </w:rPr>
      </w:pPr>
      <w:r w:rsidRPr="009758F3">
        <w:rPr>
          <w:rFonts w:ascii="HG丸ｺﾞｼｯｸM-PRO" w:eastAsia="HG丸ｺﾞｼｯｸM-PRO" w:hAnsi="HG丸ｺﾞｼｯｸM-PRO" w:hint="eastAsia"/>
          <w:b/>
          <w:u w:val="single"/>
        </w:rPr>
        <w:t>医師名</w:t>
      </w:r>
      <w:r>
        <w:rPr>
          <w:rFonts w:ascii="HG丸ｺﾞｼｯｸM-PRO" w:eastAsia="HG丸ｺﾞｼｯｸM-PRO" w:hAnsi="HG丸ｺﾞｼｯｸM-PRO" w:hint="eastAsia"/>
          <w:b/>
          <w:u w:val="single"/>
        </w:rPr>
        <w:t xml:space="preserve">　　　</w:t>
      </w:r>
      <w:r w:rsidRPr="009758F3">
        <w:rPr>
          <w:rFonts w:ascii="HG丸ｺﾞｼｯｸM-PRO" w:eastAsia="HG丸ｺﾞｼｯｸM-PRO" w:hAnsi="HG丸ｺﾞｼｯｸM-PRO" w:hint="eastAsia"/>
          <w:b/>
          <w:u w:val="single"/>
        </w:rPr>
        <w:t xml:space="preserve">　　　　　　　　　　　　</w:t>
      </w:r>
      <w:r w:rsidRPr="009758F3">
        <w:rPr>
          <w:rFonts w:ascii="ＭＳ 明朝" w:eastAsia="ＭＳ 明朝" w:hAnsi="ＭＳ 明朝" w:cs="ＭＳ 明朝" w:hint="eastAsia"/>
          <w:b/>
          <w:u w:val="single"/>
        </w:rPr>
        <w:t xml:space="preserve">　　㊞</w:t>
      </w:r>
    </w:p>
    <w:tbl>
      <w:tblPr>
        <w:tblStyle w:val="a5"/>
        <w:tblW w:w="10064" w:type="dxa"/>
        <w:jc w:val="center"/>
        <w:tblLayout w:type="fixed"/>
        <w:tblLook w:val="04A0" w:firstRow="1" w:lastRow="0" w:firstColumn="1" w:lastColumn="0" w:noHBand="0" w:noVBand="1"/>
      </w:tblPr>
      <w:tblGrid>
        <w:gridCol w:w="586"/>
        <w:gridCol w:w="572"/>
        <w:gridCol w:w="2846"/>
        <w:gridCol w:w="6060"/>
      </w:tblGrid>
      <w:tr w:rsidR="00EA0CDC" w:rsidRPr="003639B8" w14:paraId="7DB434BE" w14:textId="77777777" w:rsidTr="00D477B5">
        <w:trPr>
          <w:trHeight w:val="983"/>
          <w:jc w:val="center"/>
        </w:trPr>
        <w:tc>
          <w:tcPr>
            <w:tcW w:w="586" w:type="dxa"/>
            <w:vAlign w:val="center"/>
          </w:tcPr>
          <w:p w14:paraId="5E9A8464" w14:textId="77777777" w:rsidR="00EA0CDC" w:rsidRPr="008F7C72" w:rsidRDefault="00EA0CDC" w:rsidP="00D477B5">
            <w:pPr>
              <w:jc w:val="center"/>
              <w:rPr>
                <w:sz w:val="16"/>
                <w:szCs w:val="16"/>
              </w:rPr>
            </w:pPr>
            <w:r w:rsidRPr="008F7C72">
              <w:rPr>
                <w:rFonts w:hint="eastAsia"/>
                <w:sz w:val="16"/>
                <w:szCs w:val="16"/>
              </w:rPr>
              <w:t>該当項目に○</w:t>
            </w:r>
          </w:p>
        </w:tc>
        <w:tc>
          <w:tcPr>
            <w:tcW w:w="572" w:type="dxa"/>
            <w:vAlign w:val="center"/>
          </w:tcPr>
          <w:p w14:paraId="68D5DB40" w14:textId="77777777" w:rsidR="00EA0CDC" w:rsidRPr="003639B8" w:rsidRDefault="00EA0CDC" w:rsidP="00D477B5">
            <w:pPr>
              <w:jc w:val="center"/>
              <w:rPr>
                <w:sz w:val="18"/>
                <w:szCs w:val="18"/>
              </w:rPr>
            </w:pPr>
            <w:r w:rsidRPr="003639B8">
              <w:rPr>
                <w:rFonts w:hint="eastAsia"/>
                <w:sz w:val="18"/>
                <w:szCs w:val="18"/>
              </w:rPr>
              <w:t>№</w:t>
            </w:r>
          </w:p>
        </w:tc>
        <w:tc>
          <w:tcPr>
            <w:tcW w:w="2846" w:type="dxa"/>
            <w:vAlign w:val="center"/>
          </w:tcPr>
          <w:p w14:paraId="6F4907CE" w14:textId="77777777" w:rsidR="00EA0CDC" w:rsidRPr="003639B8" w:rsidRDefault="00EA0CDC" w:rsidP="00D477B5">
            <w:pPr>
              <w:jc w:val="center"/>
              <w:rPr>
                <w:sz w:val="18"/>
                <w:szCs w:val="18"/>
              </w:rPr>
            </w:pPr>
            <w:r w:rsidRPr="003639B8">
              <w:rPr>
                <w:rFonts w:hint="eastAsia"/>
                <w:sz w:val="18"/>
                <w:szCs w:val="18"/>
              </w:rPr>
              <w:t>病名</w:t>
            </w:r>
          </w:p>
        </w:tc>
        <w:tc>
          <w:tcPr>
            <w:tcW w:w="6060" w:type="dxa"/>
            <w:vAlign w:val="center"/>
          </w:tcPr>
          <w:p w14:paraId="5FBD56B5" w14:textId="77777777" w:rsidR="00EA0CDC" w:rsidRPr="003639B8" w:rsidRDefault="00EA0CDC" w:rsidP="00D477B5">
            <w:pPr>
              <w:jc w:val="center"/>
              <w:rPr>
                <w:sz w:val="18"/>
                <w:szCs w:val="18"/>
              </w:rPr>
            </w:pPr>
            <w:r w:rsidRPr="003639B8">
              <w:rPr>
                <w:rFonts w:hint="eastAsia"/>
                <w:sz w:val="18"/>
                <w:szCs w:val="18"/>
              </w:rPr>
              <w:t>登園基準</w:t>
            </w:r>
          </w:p>
        </w:tc>
      </w:tr>
      <w:tr w:rsidR="00EA0CDC" w:rsidRPr="003639B8" w14:paraId="38291E48" w14:textId="77777777" w:rsidTr="00D477B5">
        <w:trPr>
          <w:trHeight w:val="406"/>
          <w:jc w:val="center"/>
        </w:trPr>
        <w:tc>
          <w:tcPr>
            <w:tcW w:w="586" w:type="dxa"/>
            <w:vAlign w:val="center"/>
          </w:tcPr>
          <w:p w14:paraId="055858CF" w14:textId="77777777" w:rsidR="00EA0CDC" w:rsidRPr="003639B8" w:rsidRDefault="00EA0CDC" w:rsidP="00D477B5">
            <w:pPr>
              <w:jc w:val="both"/>
              <w:rPr>
                <w:sz w:val="18"/>
                <w:szCs w:val="18"/>
              </w:rPr>
            </w:pPr>
          </w:p>
        </w:tc>
        <w:tc>
          <w:tcPr>
            <w:tcW w:w="572" w:type="dxa"/>
            <w:vAlign w:val="center"/>
          </w:tcPr>
          <w:p w14:paraId="2953B360" w14:textId="77777777" w:rsidR="00EA0CDC" w:rsidRPr="008F7C72" w:rsidRDefault="00706872" w:rsidP="00D477B5">
            <w:pPr>
              <w:jc w:val="center"/>
              <w:rPr>
                <w:sz w:val="16"/>
                <w:szCs w:val="16"/>
              </w:rPr>
            </w:pPr>
            <w:r>
              <w:rPr>
                <w:rFonts w:hint="eastAsia"/>
                <w:sz w:val="16"/>
                <w:szCs w:val="16"/>
              </w:rPr>
              <w:t>1</w:t>
            </w:r>
          </w:p>
        </w:tc>
        <w:tc>
          <w:tcPr>
            <w:tcW w:w="2846" w:type="dxa"/>
            <w:vAlign w:val="center"/>
          </w:tcPr>
          <w:p w14:paraId="0B1529DE" w14:textId="77777777" w:rsidR="00EA0CDC" w:rsidRPr="003639B8" w:rsidRDefault="00EA0CDC" w:rsidP="00D477B5">
            <w:pPr>
              <w:jc w:val="both"/>
              <w:rPr>
                <w:sz w:val="18"/>
                <w:szCs w:val="18"/>
              </w:rPr>
            </w:pPr>
            <w:r w:rsidRPr="003639B8">
              <w:rPr>
                <w:rFonts w:hint="eastAsia"/>
                <w:sz w:val="18"/>
                <w:szCs w:val="18"/>
              </w:rPr>
              <w:t>百日咳</w:t>
            </w:r>
          </w:p>
        </w:tc>
        <w:tc>
          <w:tcPr>
            <w:tcW w:w="6060" w:type="dxa"/>
            <w:vAlign w:val="center"/>
          </w:tcPr>
          <w:p w14:paraId="45F3E1C5" w14:textId="77777777" w:rsidR="00EA0CDC" w:rsidRPr="003639B8" w:rsidRDefault="00EA0CDC" w:rsidP="00D477B5">
            <w:pPr>
              <w:jc w:val="both"/>
              <w:rPr>
                <w:sz w:val="18"/>
                <w:szCs w:val="18"/>
              </w:rPr>
            </w:pPr>
            <w:r>
              <w:rPr>
                <w:rFonts w:hint="eastAsia"/>
                <w:sz w:val="18"/>
                <w:szCs w:val="18"/>
              </w:rPr>
              <w:t>特有の咳が消失するまで5日間の適正な抗菌剤による治療が終了するまで</w:t>
            </w:r>
          </w:p>
        </w:tc>
      </w:tr>
      <w:tr w:rsidR="002D74A9" w:rsidRPr="003639B8" w14:paraId="54F429F2" w14:textId="77777777" w:rsidTr="00D477B5">
        <w:trPr>
          <w:trHeight w:val="406"/>
          <w:jc w:val="center"/>
        </w:trPr>
        <w:tc>
          <w:tcPr>
            <w:tcW w:w="586" w:type="dxa"/>
            <w:vAlign w:val="center"/>
          </w:tcPr>
          <w:p w14:paraId="1C7B7039" w14:textId="77777777" w:rsidR="002D74A9" w:rsidRPr="003639B8" w:rsidRDefault="002D74A9" w:rsidP="00D477B5">
            <w:pPr>
              <w:jc w:val="both"/>
              <w:rPr>
                <w:sz w:val="18"/>
                <w:szCs w:val="18"/>
              </w:rPr>
            </w:pPr>
          </w:p>
        </w:tc>
        <w:tc>
          <w:tcPr>
            <w:tcW w:w="572" w:type="dxa"/>
            <w:vAlign w:val="center"/>
          </w:tcPr>
          <w:p w14:paraId="468CF9CC" w14:textId="77777777" w:rsidR="002D74A9" w:rsidRPr="008F7C72" w:rsidRDefault="002D74A9" w:rsidP="00D477B5">
            <w:pPr>
              <w:jc w:val="center"/>
              <w:rPr>
                <w:sz w:val="16"/>
                <w:szCs w:val="16"/>
              </w:rPr>
            </w:pPr>
            <w:r w:rsidRPr="008F7C72">
              <w:rPr>
                <w:rFonts w:hint="eastAsia"/>
                <w:sz w:val="16"/>
                <w:szCs w:val="16"/>
              </w:rPr>
              <w:t>２</w:t>
            </w:r>
          </w:p>
        </w:tc>
        <w:tc>
          <w:tcPr>
            <w:tcW w:w="2846" w:type="dxa"/>
            <w:vAlign w:val="center"/>
          </w:tcPr>
          <w:p w14:paraId="2957DEB4" w14:textId="77777777" w:rsidR="002D74A9" w:rsidRPr="003639B8" w:rsidRDefault="002D74A9" w:rsidP="00D477B5">
            <w:pPr>
              <w:jc w:val="both"/>
              <w:rPr>
                <w:sz w:val="18"/>
                <w:szCs w:val="18"/>
              </w:rPr>
            </w:pPr>
            <w:r w:rsidRPr="003639B8">
              <w:rPr>
                <w:rFonts w:hint="eastAsia"/>
                <w:sz w:val="18"/>
                <w:szCs w:val="18"/>
              </w:rPr>
              <w:t>はしか（麻疹）</w:t>
            </w:r>
          </w:p>
        </w:tc>
        <w:tc>
          <w:tcPr>
            <w:tcW w:w="6060" w:type="dxa"/>
            <w:vAlign w:val="center"/>
          </w:tcPr>
          <w:p w14:paraId="2B075FD5" w14:textId="77777777" w:rsidR="002D74A9" w:rsidRPr="003639B8" w:rsidRDefault="002D74A9" w:rsidP="00D477B5">
            <w:pPr>
              <w:jc w:val="both"/>
              <w:rPr>
                <w:sz w:val="18"/>
                <w:szCs w:val="18"/>
              </w:rPr>
            </w:pPr>
            <w:r w:rsidRPr="003639B8">
              <w:rPr>
                <w:rFonts w:hint="eastAsia"/>
                <w:sz w:val="18"/>
                <w:szCs w:val="18"/>
              </w:rPr>
              <w:t>発疹に伴う熱がさがった後、３日を経過し元気が良い時</w:t>
            </w:r>
          </w:p>
        </w:tc>
      </w:tr>
      <w:tr w:rsidR="002D74A9" w:rsidRPr="003639B8" w14:paraId="753A5AA5" w14:textId="77777777" w:rsidTr="00D477B5">
        <w:trPr>
          <w:trHeight w:val="406"/>
          <w:jc w:val="center"/>
        </w:trPr>
        <w:tc>
          <w:tcPr>
            <w:tcW w:w="586" w:type="dxa"/>
            <w:vAlign w:val="center"/>
          </w:tcPr>
          <w:p w14:paraId="35FA1244" w14:textId="77777777" w:rsidR="002D74A9" w:rsidRPr="003639B8" w:rsidRDefault="002D74A9" w:rsidP="00D477B5">
            <w:pPr>
              <w:jc w:val="both"/>
              <w:rPr>
                <w:sz w:val="18"/>
                <w:szCs w:val="18"/>
              </w:rPr>
            </w:pPr>
          </w:p>
        </w:tc>
        <w:tc>
          <w:tcPr>
            <w:tcW w:w="572" w:type="dxa"/>
            <w:vAlign w:val="center"/>
          </w:tcPr>
          <w:p w14:paraId="559B7D04" w14:textId="77777777" w:rsidR="002D74A9" w:rsidRPr="008F7C72" w:rsidRDefault="002D74A9" w:rsidP="00D477B5">
            <w:pPr>
              <w:jc w:val="center"/>
              <w:rPr>
                <w:sz w:val="16"/>
                <w:szCs w:val="16"/>
              </w:rPr>
            </w:pPr>
            <w:r w:rsidRPr="008F7C72">
              <w:rPr>
                <w:rFonts w:hint="eastAsia"/>
                <w:sz w:val="16"/>
                <w:szCs w:val="16"/>
              </w:rPr>
              <w:t>３</w:t>
            </w:r>
          </w:p>
        </w:tc>
        <w:tc>
          <w:tcPr>
            <w:tcW w:w="2846" w:type="dxa"/>
            <w:vAlign w:val="center"/>
          </w:tcPr>
          <w:p w14:paraId="4917D2C7" w14:textId="77777777" w:rsidR="002D74A9" w:rsidRPr="003639B8" w:rsidRDefault="002D74A9" w:rsidP="00D477B5">
            <w:pPr>
              <w:jc w:val="both"/>
              <w:rPr>
                <w:sz w:val="18"/>
                <w:szCs w:val="18"/>
              </w:rPr>
            </w:pPr>
            <w:r w:rsidRPr="003639B8">
              <w:rPr>
                <w:rFonts w:hint="eastAsia"/>
                <w:sz w:val="18"/>
                <w:szCs w:val="18"/>
              </w:rPr>
              <w:t>おたふくかぜ（流行性耳下腺炎）</w:t>
            </w:r>
          </w:p>
        </w:tc>
        <w:tc>
          <w:tcPr>
            <w:tcW w:w="6060" w:type="dxa"/>
            <w:vAlign w:val="center"/>
          </w:tcPr>
          <w:p w14:paraId="31FDEB58" w14:textId="77777777" w:rsidR="002D74A9" w:rsidRPr="003639B8" w:rsidRDefault="002D74A9" w:rsidP="00D477B5">
            <w:pPr>
              <w:jc w:val="both"/>
              <w:rPr>
                <w:sz w:val="18"/>
                <w:szCs w:val="18"/>
              </w:rPr>
            </w:pPr>
            <w:r>
              <w:rPr>
                <w:rFonts w:hint="eastAsia"/>
                <w:sz w:val="18"/>
                <w:szCs w:val="18"/>
              </w:rPr>
              <w:t>腫れが発現した後5日間を経過し、かつ全身状態が良好となるまで</w:t>
            </w:r>
          </w:p>
        </w:tc>
      </w:tr>
      <w:tr w:rsidR="002D74A9" w:rsidRPr="003639B8" w14:paraId="24E5EB87" w14:textId="77777777" w:rsidTr="00D477B5">
        <w:trPr>
          <w:trHeight w:val="406"/>
          <w:jc w:val="center"/>
        </w:trPr>
        <w:tc>
          <w:tcPr>
            <w:tcW w:w="586" w:type="dxa"/>
            <w:vAlign w:val="center"/>
          </w:tcPr>
          <w:p w14:paraId="5AB45750" w14:textId="77777777" w:rsidR="002D74A9" w:rsidRPr="003639B8" w:rsidRDefault="002D74A9" w:rsidP="00D477B5">
            <w:pPr>
              <w:jc w:val="both"/>
              <w:rPr>
                <w:sz w:val="18"/>
                <w:szCs w:val="18"/>
              </w:rPr>
            </w:pPr>
          </w:p>
        </w:tc>
        <w:tc>
          <w:tcPr>
            <w:tcW w:w="572" w:type="dxa"/>
            <w:vAlign w:val="center"/>
          </w:tcPr>
          <w:p w14:paraId="53867D24" w14:textId="77777777" w:rsidR="002D74A9" w:rsidRPr="008F7C72" w:rsidRDefault="002D74A9" w:rsidP="00D477B5">
            <w:pPr>
              <w:jc w:val="center"/>
              <w:rPr>
                <w:sz w:val="16"/>
                <w:szCs w:val="16"/>
              </w:rPr>
            </w:pPr>
            <w:r w:rsidRPr="008F7C72">
              <w:rPr>
                <w:rFonts w:hint="eastAsia"/>
                <w:sz w:val="16"/>
                <w:szCs w:val="16"/>
              </w:rPr>
              <w:t>４</w:t>
            </w:r>
          </w:p>
        </w:tc>
        <w:tc>
          <w:tcPr>
            <w:tcW w:w="2846" w:type="dxa"/>
            <w:vAlign w:val="center"/>
          </w:tcPr>
          <w:p w14:paraId="697BA930" w14:textId="77777777" w:rsidR="002D74A9" w:rsidRPr="003639B8" w:rsidRDefault="002D74A9" w:rsidP="00D477B5">
            <w:pPr>
              <w:jc w:val="both"/>
              <w:rPr>
                <w:sz w:val="18"/>
                <w:szCs w:val="18"/>
              </w:rPr>
            </w:pPr>
            <w:r w:rsidRPr="003639B8">
              <w:rPr>
                <w:rFonts w:hint="eastAsia"/>
                <w:sz w:val="18"/>
                <w:szCs w:val="18"/>
              </w:rPr>
              <w:t>三日はしか（風疹）</w:t>
            </w:r>
          </w:p>
        </w:tc>
        <w:tc>
          <w:tcPr>
            <w:tcW w:w="6060" w:type="dxa"/>
            <w:vAlign w:val="center"/>
          </w:tcPr>
          <w:p w14:paraId="481691D8" w14:textId="77777777" w:rsidR="002D74A9" w:rsidRPr="003639B8" w:rsidRDefault="002D74A9" w:rsidP="00D477B5">
            <w:pPr>
              <w:jc w:val="both"/>
              <w:rPr>
                <w:sz w:val="18"/>
                <w:szCs w:val="18"/>
              </w:rPr>
            </w:pPr>
            <w:r w:rsidRPr="003639B8">
              <w:rPr>
                <w:rFonts w:hint="eastAsia"/>
                <w:sz w:val="18"/>
                <w:szCs w:val="18"/>
              </w:rPr>
              <w:t>発疹が消失した時</w:t>
            </w:r>
          </w:p>
        </w:tc>
      </w:tr>
      <w:tr w:rsidR="002D74A9" w:rsidRPr="003639B8" w14:paraId="3E70F487" w14:textId="77777777" w:rsidTr="00D477B5">
        <w:trPr>
          <w:trHeight w:val="406"/>
          <w:jc w:val="center"/>
        </w:trPr>
        <w:tc>
          <w:tcPr>
            <w:tcW w:w="586" w:type="dxa"/>
            <w:vAlign w:val="center"/>
          </w:tcPr>
          <w:p w14:paraId="23896EA4" w14:textId="77777777" w:rsidR="002D74A9" w:rsidRPr="003639B8" w:rsidRDefault="002D74A9" w:rsidP="00D477B5">
            <w:pPr>
              <w:jc w:val="both"/>
              <w:rPr>
                <w:sz w:val="18"/>
                <w:szCs w:val="18"/>
              </w:rPr>
            </w:pPr>
          </w:p>
        </w:tc>
        <w:tc>
          <w:tcPr>
            <w:tcW w:w="572" w:type="dxa"/>
            <w:vAlign w:val="center"/>
          </w:tcPr>
          <w:p w14:paraId="6A663FD3" w14:textId="77777777" w:rsidR="002D74A9" w:rsidRPr="008F7C72" w:rsidRDefault="002D74A9" w:rsidP="00D477B5">
            <w:pPr>
              <w:jc w:val="center"/>
              <w:rPr>
                <w:sz w:val="16"/>
                <w:szCs w:val="16"/>
              </w:rPr>
            </w:pPr>
            <w:r w:rsidRPr="008F7C72">
              <w:rPr>
                <w:rFonts w:hint="eastAsia"/>
                <w:sz w:val="16"/>
                <w:szCs w:val="16"/>
              </w:rPr>
              <w:t>５</w:t>
            </w:r>
          </w:p>
        </w:tc>
        <w:tc>
          <w:tcPr>
            <w:tcW w:w="2846" w:type="dxa"/>
            <w:vAlign w:val="center"/>
          </w:tcPr>
          <w:p w14:paraId="6FAB6EF8" w14:textId="77777777" w:rsidR="002D74A9" w:rsidRPr="003639B8" w:rsidRDefault="002D74A9" w:rsidP="00D477B5">
            <w:pPr>
              <w:jc w:val="both"/>
              <w:rPr>
                <w:sz w:val="18"/>
                <w:szCs w:val="18"/>
              </w:rPr>
            </w:pPr>
            <w:r w:rsidRPr="003639B8">
              <w:rPr>
                <w:rFonts w:hint="eastAsia"/>
                <w:sz w:val="18"/>
                <w:szCs w:val="18"/>
              </w:rPr>
              <w:t>水</w:t>
            </w:r>
            <w:proofErr w:type="gramStart"/>
            <w:r w:rsidRPr="003639B8">
              <w:rPr>
                <w:rFonts w:hint="eastAsia"/>
                <w:sz w:val="18"/>
                <w:szCs w:val="18"/>
              </w:rPr>
              <w:t>ぼう</w:t>
            </w:r>
            <w:proofErr w:type="gramEnd"/>
            <w:r w:rsidRPr="003639B8">
              <w:rPr>
                <w:rFonts w:hint="eastAsia"/>
                <w:sz w:val="18"/>
                <w:szCs w:val="18"/>
              </w:rPr>
              <w:t>そう（水痘）</w:t>
            </w:r>
          </w:p>
        </w:tc>
        <w:tc>
          <w:tcPr>
            <w:tcW w:w="6060" w:type="dxa"/>
            <w:vAlign w:val="center"/>
          </w:tcPr>
          <w:p w14:paraId="1ECD20D3" w14:textId="77777777" w:rsidR="002D74A9" w:rsidRPr="003639B8" w:rsidRDefault="002D74A9" w:rsidP="00D477B5">
            <w:pPr>
              <w:jc w:val="both"/>
              <w:rPr>
                <w:sz w:val="18"/>
                <w:szCs w:val="18"/>
              </w:rPr>
            </w:pPr>
            <w:r w:rsidRPr="003639B8">
              <w:rPr>
                <w:rFonts w:hint="eastAsia"/>
                <w:sz w:val="18"/>
                <w:szCs w:val="18"/>
              </w:rPr>
              <w:t>すべての発疹が痂皮</w:t>
            </w:r>
            <w:r>
              <w:rPr>
                <w:rFonts w:hint="eastAsia"/>
                <w:sz w:val="18"/>
                <w:szCs w:val="18"/>
              </w:rPr>
              <w:t>化（かさぶた）するまで</w:t>
            </w:r>
          </w:p>
        </w:tc>
      </w:tr>
      <w:tr w:rsidR="002D74A9" w:rsidRPr="003639B8" w14:paraId="1DF2B690" w14:textId="77777777" w:rsidTr="00D477B5">
        <w:trPr>
          <w:trHeight w:val="406"/>
          <w:jc w:val="center"/>
        </w:trPr>
        <w:tc>
          <w:tcPr>
            <w:tcW w:w="586" w:type="dxa"/>
            <w:vAlign w:val="center"/>
          </w:tcPr>
          <w:p w14:paraId="0E61A986" w14:textId="77777777" w:rsidR="002D74A9" w:rsidRPr="003639B8" w:rsidRDefault="002D74A9" w:rsidP="00D477B5">
            <w:pPr>
              <w:jc w:val="both"/>
              <w:rPr>
                <w:sz w:val="18"/>
                <w:szCs w:val="18"/>
              </w:rPr>
            </w:pPr>
          </w:p>
        </w:tc>
        <w:tc>
          <w:tcPr>
            <w:tcW w:w="572" w:type="dxa"/>
            <w:vAlign w:val="center"/>
          </w:tcPr>
          <w:p w14:paraId="53B14249" w14:textId="77777777" w:rsidR="002D74A9" w:rsidRPr="008F7C72" w:rsidRDefault="002D74A9" w:rsidP="00D477B5">
            <w:pPr>
              <w:jc w:val="center"/>
              <w:rPr>
                <w:sz w:val="16"/>
                <w:szCs w:val="16"/>
              </w:rPr>
            </w:pPr>
            <w:r w:rsidRPr="008F7C72">
              <w:rPr>
                <w:rFonts w:hint="eastAsia"/>
                <w:sz w:val="16"/>
                <w:szCs w:val="16"/>
              </w:rPr>
              <w:t>６</w:t>
            </w:r>
          </w:p>
        </w:tc>
        <w:tc>
          <w:tcPr>
            <w:tcW w:w="2846" w:type="dxa"/>
            <w:vAlign w:val="center"/>
          </w:tcPr>
          <w:p w14:paraId="5248C4BB" w14:textId="77777777" w:rsidR="002D74A9" w:rsidRPr="003639B8" w:rsidRDefault="002D74A9" w:rsidP="00D477B5">
            <w:pPr>
              <w:jc w:val="both"/>
              <w:rPr>
                <w:sz w:val="18"/>
                <w:szCs w:val="18"/>
              </w:rPr>
            </w:pPr>
            <w:r w:rsidRPr="003639B8">
              <w:rPr>
                <w:rFonts w:hint="eastAsia"/>
                <w:sz w:val="18"/>
                <w:szCs w:val="18"/>
              </w:rPr>
              <w:t>プール熱</w:t>
            </w:r>
            <w:r>
              <w:rPr>
                <w:rFonts w:hint="eastAsia"/>
                <w:sz w:val="18"/>
                <w:szCs w:val="18"/>
              </w:rPr>
              <w:t>、アデノウィルス感染症</w:t>
            </w:r>
            <w:r w:rsidRPr="003639B8">
              <w:rPr>
                <w:rFonts w:hint="eastAsia"/>
                <w:sz w:val="18"/>
                <w:szCs w:val="18"/>
              </w:rPr>
              <w:t>（咽頭結膜熱）</w:t>
            </w:r>
          </w:p>
        </w:tc>
        <w:tc>
          <w:tcPr>
            <w:tcW w:w="6060" w:type="dxa"/>
            <w:vAlign w:val="center"/>
          </w:tcPr>
          <w:p w14:paraId="4CB02E72" w14:textId="77777777" w:rsidR="002D74A9" w:rsidRPr="003639B8" w:rsidRDefault="002D74A9" w:rsidP="00D477B5">
            <w:pPr>
              <w:jc w:val="both"/>
              <w:rPr>
                <w:sz w:val="18"/>
                <w:szCs w:val="18"/>
              </w:rPr>
            </w:pPr>
            <w:r>
              <w:rPr>
                <w:rFonts w:hint="eastAsia"/>
                <w:sz w:val="18"/>
                <w:szCs w:val="18"/>
              </w:rPr>
              <w:t>主な症状が消失し、２日を経過するまで</w:t>
            </w:r>
          </w:p>
        </w:tc>
      </w:tr>
      <w:tr w:rsidR="002D74A9" w:rsidRPr="003639B8" w14:paraId="734185DD" w14:textId="77777777" w:rsidTr="00D477B5">
        <w:trPr>
          <w:trHeight w:val="406"/>
          <w:jc w:val="center"/>
        </w:trPr>
        <w:tc>
          <w:tcPr>
            <w:tcW w:w="586" w:type="dxa"/>
            <w:vAlign w:val="center"/>
          </w:tcPr>
          <w:p w14:paraId="0352826A" w14:textId="77777777" w:rsidR="002D74A9" w:rsidRPr="003639B8" w:rsidRDefault="002D74A9" w:rsidP="00D477B5">
            <w:pPr>
              <w:jc w:val="both"/>
              <w:rPr>
                <w:sz w:val="18"/>
                <w:szCs w:val="18"/>
              </w:rPr>
            </w:pPr>
          </w:p>
        </w:tc>
        <w:tc>
          <w:tcPr>
            <w:tcW w:w="572" w:type="dxa"/>
            <w:vAlign w:val="center"/>
          </w:tcPr>
          <w:p w14:paraId="0F61D6A8" w14:textId="77777777" w:rsidR="002D74A9" w:rsidRPr="008F7C72" w:rsidRDefault="002D74A9" w:rsidP="00D477B5">
            <w:pPr>
              <w:jc w:val="center"/>
              <w:rPr>
                <w:sz w:val="16"/>
                <w:szCs w:val="16"/>
              </w:rPr>
            </w:pPr>
            <w:r w:rsidRPr="008F7C72">
              <w:rPr>
                <w:rFonts w:hint="eastAsia"/>
                <w:sz w:val="16"/>
                <w:szCs w:val="16"/>
              </w:rPr>
              <w:t>７</w:t>
            </w:r>
          </w:p>
        </w:tc>
        <w:tc>
          <w:tcPr>
            <w:tcW w:w="2846" w:type="dxa"/>
            <w:vAlign w:val="center"/>
          </w:tcPr>
          <w:p w14:paraId="37749CB6" w14:textId="77777777" w:rsidR="002D74A9" w:rsidRPr="003639B8" w:rsidRDefault="002D74A9" w:rsidP="00D477B5">
            <w:pPr>
              <w:jc w:val="both"/>
              <w:rPr>
                <w:sz w:val="18"/>
                <w:szCs w:val="18"/>
              </w:rPr>
            </w:pPr>
            <w:r w:rsidRPr="003639B8">
              <w:rPr>
                <w:rFonts w:hint="eastAsia"/>
                <w:sz w:val="18"/>
                <w:szCs w:val="18"/>
              </w:rPr>
              <w:t>流行性角結膜炎</w:t>
            </w:r>
            <w:r>
              <w:rPr>
                <w:rFonts w:hint="eastAsia"/>
                <w:sz w:val="18"/>
                <w:szCs w:val="18"/>
              </w:rPr>
              <w:t>（はやり目）</w:t>
            </w:r>
          </w:p>
        </w:tc>
        <w:tc>
          <w:tcPr>
            <w:tcW w:w="6060" w:type="dxa"/>
            <w:vAlign w:val="center"/>
          </w:tcPr>
          <w:p w14:paraId="0FACCD02" w14:textId="77777777" w:rsidR="002D74A9" w:rsidRPr="003639B8" w:rsidRDefault="002D74A9" w:rsidP="00D477B5">
            <w:pPr>
              <w:jc w:val="both"/>
              <w:rPr>
                <w:sz w:val="18"/>
                <w:szCs w:val="18"/>
              </w:rPr>
            </w:pPr>
            <w:r>
              <w:rPr>
                <w:rFonts w:hint="eastAsia"/>
                <w:sz w:val="18"/>
                <w:szCs w:val="18"/>
              </w:rPr>
              <w:t>医師が感染の恐れがないと認めるまで（症状が消失してから）</w:t>
            </w:r>
          </w:p>
        </w:tc>
      </w:tr>
      <w:tr w:rsidR="002D74A9" w:rsidRPr="003639B8" w14:paraId="0A21D58A" w14:textId="77777777" w:rsidTr="00D477B5">
        <w:trPr>
          <w:trHeight w:val="406"/>
          <w:jc w:val="center"/>
        </w:trPr>
        <w:tc>
          <w:tcPr>
            <w:tcW w:w="586" w:type="dxa"/>
            <w:vAlign w:val="center"/>
          </w:tcPr>
          <w:p w14:paraId="33B95BB5" w14:textId="77777777" w:rsidR="002D74A9" w:rsidRPr="003639B8" w:rsidRDefault="002D74A9" w:rsidP="00D477B5">
            <w:pPr>
              <w:jc w:val="both"/>
              <w:rPr>
                <w:sz w:val="18"/>
                <w:szCs w:val="18"/>
              </w:rPr>
            </w:pPr>
          </w:p>
        </w:tc>
        <w:tc>
          <w:tcPr>
            <w:tcW w:w="572" w:type="dxa"/>
            <w:vAlign w:val="center"/>
          </w:tcPr>
          <w:p w14:paraId="6900024C" w14:textId="77777777" w:rsidR="002D74A9" w:rsidRPr="008F7C72" w:rsidRDefault="002D74A9" w:rsidP="00D477B5">
            <w:pPr>
              <w:jc w:val="center"/>
              <w:rPr>
                <w:sz w:val="16"/>
                <w:szCs w:val="16"/>
              </w:rPr>
            </w:pPr>
            <w:r w:rsidRPr="008F7C72">
              <w:rPr>
                <w:rFonts w:hint="eastAsia"/>
                <w:sz w:val="16"/>
                <w:szCs w:val="16"/>
              </w:rPr>
              <w:t>８</w:t>
            </w:r>
          </w:p>
        </w:tc>
        <w:tc>
          <w:tcPr>
            <w:tcW w:w="2846" w:type="dxa"/>
            <w:vAlign w:val="center"/>
          </w:tcPr>
          <w:p w14:paraId="40650BC1" w14:textId="77777777" w:rsidR="002D74A9" w:rsidRPr="003639B8" w:rsidRDefault="002D74A9" w:rsidP="00D477B5">
            <w:pPr>
              <w:jc w:val="both"/>
              <w:rPr>
                <w:sz w:val="18"/>
                <w:szCs w:val="18"/>
              </w:rPr>
            </w:pPr>
            <w:r w:rsidRPr="003639B8">
              <w:rPr>
                <w:rFonts w:hint="eastAsia"/>
                <w:sz w:val="18"/>
                <w:szCs w:val="18"/>
              </w:rPr>
              <w:t>急性出血性結膜炎</w:t>
            </w:r>
          </w:p>
        </w:tc>
        <w:tc>
          <w:tcPr>
            <w:tcW w:w="6060" w:type="dxa"/>
            <w:vAlign w:val="center"/>
          </w:tcPr>
          <w:p w14:paraId="7F80C566" w14:textId="77777777" w:rsidR="002D74A9" w:rsidRPr="003639B8" w:rsidRDefault="002D74A9" w:rsidP="00D477B5">
            <w:pPr>
              <w:jc w:val="both"/>
              <w:rPr>
                <w:sz w:val="18"/>
                <w:szCs w:val="18"/>
              </w:rPr>
            </w:pPr>
            <w:r>
              <w:rPr>
                <w:rFonts w:hint="eastAsia"/>
                <w:sz w:val="18"/>
                <w:szCs w:val="18"/>
              </w:rPr>
              <w:t>医師が感染の恐れがないと認めるまで</w:t>
            </w:r>
          </w:p>
        </w:tc>
      </w:tr>
      <w:tr w:rsidR="002D74A9" w:rsidRPr="003639B8" w14:paraId="64AD0500" w14:textId="77777777" w:rsidTr="00D477B5">
        <w:trPr>
          <w:trHeight w:val="406"/>
          <w:jc w:val="center"/>
        </w:trPr>
        <w:tc>
          <w:tcPr>
            <w:tcW w:w="586" w:type="dxa"/>
            <w:vAlign w:val="center"/>
          </w:tcPr>
          <w:p w14:paraId="4F09CFCC" w14:textId="77777777" w:rsidR="002D74A9" w:rsidRPr="003639B8" w:rsidRDefault="002D74A9" w:rsidP="00D477B5">
            <w:pPr>
              <w:jc w:val="both"/>
              <w:rPr>
                <w:sz w:val="18"/>
                <w:szCs w:val="18"/>
              </w:rPr>
            </w:pPr>
          </w:p>
        </w:tc>
        <w:tc>
          <w:tcPr>
            <w:tcW w:w="572" w:type="dxa"/>
            <w:vAlign w:val="center"/>
          </w:tcPr>
          <w:p w14:paraId="46759595" w14:textId="77777777" w:rsidR="002D74A9" w:rsidRPr="008F7C72" w:rsidRDefault="002D74A9" w:rsidP="00D477B5">
            <w:pPr>
              <w:jc w:val="center"/>
              <w:rPr>
                <w:sz w:val="16"/>
                <w:szCs w:val="16"/>
              </w:rPr>
            </w:pPr>
            <w:r w:rsidRPr="008F7C72">
              <w:rPr>
                <w:rFonts w:hint="eastAsia"/>
                <w:sz w:val="16"/>
                <w:szCs w:val="16"/>
              </w:rPr>
              <w:t>９</w:t>
            </w:r>
          </w:p>
        </w:tc>
        <w:tc>
          <w:tcPr>
            <w:tcW w:w="2846" w:type="dxa"/>
            <w:vAlign w:val="center"/>
          </w:tcPr>
          <w:p w14:paraId="27F8521E" w14:textId="77777777" w:rsidR="002D74A9" w:rsidRPr="003639B8" w:rsidRDefault="002D74A9" w:rsidP="00D477B5">
            <w:pPr>
              <w:jc w:val="both"/>
              <w:rPr>
                <w:sz w:val="18"/>
                <w:szCs w:val="18"/>
              </w:rPr>
            </w:pPr>
            <w:r w:rsidRPr="003639B8">
              <w:rPr>
                <w:rFonts w:hint="eastAsia"/>
                <w:sz w:val="18"/>
                <w:szCs w:val="18"/>
              </w:rPr>
              <w:t>腸管出血性大腸菌感染症</w:t>
            </w:r>
          </w:p>
        </w:tc>
        <w:tc>
          <w:tcPr>
            <w:tcW w:w="6060" w:type="dxa"/>
            <w:vAlign w:val="center"/>
          </w:tcPr>
          <w:p w14:paraId="7C730C55" w14:textId="77777777" w:rsidR="002D74A9" w:rsidRPr="003639B8" w:rsidRDefault="002D74A9" w:rsidP="00D477B5">
            <w:pPr>
              <w:jc w:val="both"/>
              <w:rPr>
                <w:sz w:val="18"/>
                <w:szCs w:val="18"/>
              </w:rPr>
            </w:pPr>
            <w:r w:rsidRPr="003639B8">
              <w:rPr>
                <w:rFonts w:hint="eastAsia"/>
                <w:sz w:val="18"/>
                <w:szCs w:val="18"/>
              </w:rPr>
              <w:t>症状が治まり、かつ48時間あけて連続2回の検便によっていずれも菌陰性が確認されたもの。感染症法による、3類感染症であり、</w:t>
            </w:r>
            <w:r w:rsidRPr="003639B8">
              <w:rPr>
                <w:rFonts w:hint="eastAsia"/>
                <w:sz w:val="18"/>
                <w:szCs w:val="18"/>
                <w:u w:val="single"/>
              </w:rPr>
              <w:t>保健所の指示に留意すること</w:t>
            </w:r>
          </w:p>
        </w:tc>
      </w:tr>
      <w:tr w:rsidR="002D74A9" w:rsidRPr="003639B8" w14:paraId="4CE065E3" w14:textId="77777777" w:rsidTr="00D477B5">
        <w:trPr>
          <w:trHeight w:val="406"/>
          <w:jc w:val="center"/>
        </w:trPr>
        <w:tc>
          <w:tcPr>
            <w:tcW w:w="586" w:type="dxa"/>
            <w:vAlign w:val="center"/>
          </w:tcPr>
          <w:p w14:paraId="5CA5AF09" w14:textId="77777777" w:rsidR="002D74A9" w:rsidRPr="003639B8" w:rsidRDefault="002D74A9" w:rsidP="00D477B5">
            <w:pPr>
              <w:jc w:val="both"/>
              <w:rPr>
                <w:sz w:val="18"/>
                <w:szCs w:val="18"/>
              </w:rPr>
            </w:pPr>
          </w:p>
        </w:tc>
        <w:tc>
          <w:tcPr>
            <w:tcW w:w="572" w:type="dxa"/>
            <w:vAlign w:val="center"/>
          </w:tcPr>
          <w:p w14:paraId="5B38C489" w14:textId="77777777" w:rsidR="002D74A9" w:rsidRPr="008F7C72" w:rsidRDefault="002D74A9" w:rsidP="00D477B5">
            <w:pPr>
              <w:jc w:val="center"/>
              <w:rPr>
                <w:sz w:val="16"/>
                <w:szCs w:val="16"/>
              </w:rPr>
            </w:pPr>
            <w:r w:rsidRPr="008F7C72">
              <w:rPr>
                <w:rFonts w:hint="eastAsia"/>
                <w:sz w:val="16"/>
                <w:szCs w:val="16"/>
              </w:rPr>
              <w:t>１０</w:t>
            </w:r>
          </w:p>
        </w:tc>
        <w:tc>
          <w:tcPr>
            <w:tcW w:w="2846" w:type="dxa"/>
            <w:vAlign w:val="center"/>
          </w:tcPr>
          <w:p w14:paraId="2BD89490" w14:textId="77777777" w:rsidR="002D74A9" w:rsidRPr="003639B8" w:rsidRDefault="002D74A9" w:rsidP="00D477B5">
            <w:pPr>
              <w:jc w:val="both"/>
              <w:rPr>
                <w:sz w:val="18"/>
                <w:szCs w:val="18"/>
              </w:rPr>
            </w:pPr>
            <w:r>
              <w:rPr>
                <w:rFonts w:hint="eastAsia"/>
                <w:sz w:val="18"/>
                <w:szCs w:val="18"/>
              </w:rPr>
              <w:t>髄膜炎菌性髄膜炎（侵襲性髄膜炎菌感染症）</w:t>
            </w:r>
          </w:p>
        </w:tc>
        <w:tc>
          <w:tcPr>
            <w:tcW w:w="6060" w:type="dxa"/>
            <w:vAlign w:val="center"/>
          </w:tcPr>
          <w:p w14:paraId="2EC81528" w14:textId="77777777" w:rsidR="002D74A9" w:rsidRPr="003639B8" w:rsidRDefault="002D74A9" w:rsidP="00D477B5">
            <w:pPr>
              <w:jc w:val="both"/>
              <w:rPr>
                <w:sz w:val="18"/>
                <w:szCs w:val="18"/>
              </w:rPr>
            </w:pPr>
            <w:r>
              <w:rPr>
                <w:rFonts w:hint="eastAsia"/>
                <w:sz w:val="18"/>
                <w:szCs w:val="18"/>
              </w:rPr>
              <w:t>医師が感染の恐れがないと認めるまで</w:t>
            </w:r>
          </w:p>
        </w:tc>
      </w:tr>
      <w:tr w:rsidR="002D74A9" w:rsidRPr="003639B8" w14:paraId="78042247" w14:textId="77777777" w:rsidTr="00D477B5">
        <w:trPr>
          <w:trHeight w:val="406"/>
          <w:jc w:val="center"/>
        </w:trPr>
        <w:tc>
          <w:tcPr>
            <w:tcW w:w="586" w:type="dxa"/>
            <w:vAlign w:val="center"/>
          </w:tcPr>
          <w:p w14:paraId="57B1A4CF" w14:textId="77777777" w:rsidR="002D74A9" w:rsidRPr="003639B8" w:rsidRDefault="002D74A9" w:rsidP="00D477B5">
            <w:pPr>
              <w:jc w:val="both"/>
              <w:rPr>
                <w:sz w:val="18"/>
                <w:szCs w:val="18"/>
              </w:rPr>
            </w:pPr>
          </w:p>
        </w:tc>
        <w:tc>
          <w:tcPr>
            <w:tcW w:w="572" w:type="dxa"/>
            <w:vAlign w:val="center"/>
          </w:tcPr>
          <w:p w14:paraId="550C6FE4" w14:textId="77777777" w:rsidR="002D74A9" w:rsidRPr="008F7C72" w:rsidRDefault="002D74A9" w:rsidP="00D477B5">
            <w:pPr>
              <w:jc w:val="center"/>
              <w:rPr>
                <w:sz w:val="16"/>
                <w:szCs w:val="16"/>
              </w:rPr>
            </w:pPr>
            <w:r w:rsidRPr="008F7C72">
              <w:rPr>
                <w:rFonts w:hint="eastAsia"/>
                <w:sz w:val="16"/>
                <w:szCs w:val="16"/>
              </w:rPr>
              <w:t>１１</w:t>
            </w:r>
          </w:p>
        </w:tc>
        <w:tc>
          <w:tcPr>
            <w:tcW w:w="2846" w:type="dxa"/>
            <w:vAlign w:val="center"/>
          </w:tcPr>
          <w:p w14:paraId="592D5DBC" w14:textId="77777777" w:rsidR="002D74A9" w:rsidRPr="003639B8" w:rsidRDefault="002D74A9" w:rsidP="00D477B5">
            <w:pPr>
              <w:jc w:val="both"/>
              <w:rPr>
                <w:sz w:val="18"/>
                <w:szCs w:val="18"/>
              </w:rPr>
            </w:pPr>
            <w:r>
              <w:rPr>
                <w:rFonts w:hint="eastAsia"/>
                <w:sz w:val="18"/>
                <w:szCs w:val="18"/>
              </w:rPr>
              <w:t>結核</w:t>
            </w:r>
          </w:p>
        </w:tc>
        <w:tc>
          <w:tcPr>
            <w:tcW w:w="6060" w:type="dxa"/>
            <w:vAlign w:val="center"/>
          </w:tcPr>
          <w:p w14:paraId="3C71E251" w14:textId="77777777" w:rsidR="002D74A9" w:rsidRPr="003639B8" w:rsidRDefault="002D74A9" w:rsidP="00D477B5">
            <w:pPr>
              <w:jc w:val="both"/>
              <w:rPr>
                <w:sz w:val="18"/>
                <w:szCs w:val="18"/>
              </w:rPr>
            </w:pPr>
            <w:r>
              <w:rPr>
                <w:rFonts w:hint="eastAsia"/>
                <w:sz w:val="18"/>
                <w:szCs w:val="18"/>
              </w:rPr>
              <w:t>医師により感染の恐れがないと診断されるまで。</w:t>
            </w:r>
          </w:p>
        </w:tc>
      </w:tr>
      <w:tr w:rsidR="002D74A9" w:rsidRPr="003639B8" w14:paraId="6829BE58" w14:textId="77777777" w:rsidTr="00D477B5">
        <w:trPr>
          <w:trHeight w:val="406"/>
          <w:jc w:val="center"/>
        </w:trPr>
        <w:tc>
          <w:tcPr>
            <w:tcW w:w="586" w:type="dxa"/>
            <w:vAlign w:val="center"/>
          </w:tcPr>
          <w:p w14:paraId="51A3EA5D" w14:textId="77777777" w:rsidR="002D74A9" w:rsidRPr="003639B8" w:rsidRDefault="002D74A9" w:rsidP="00D477B5">
            <w:pPr>
              <w:jc w:val="both"/>
              <w:rPr>
                <w:sz w:val="18"/>
                <w:szCs w:val="18"/>
              </w:rPr>
            </w:pPr>
          </w:p>
        </w:tc>
        <w:tc>
          <w:tcPr>
            <w:tcW w:w="572" w:type="dxa"/>
            <w:vAlign w:val="center"/>
          </w:tcPr>
          <w:p w14:paraId="1862D345" w14:textId="77777777" w:rsidR="002D74A9" w:rsidRPr="008F7C72" w:rsidRDefault="002D74A9" w:rsidP="00D477B5">
            <w:pPr>
              <w:jc w:val="center"/>
              <w:rPr>
                <w:sz w:val="16"/>
                <w:szCs w:val="16"/>
              </w:rPr>
            </w:pPr>
            <w:r w:rsidRPr="008F7C72">
              <w:rPr>
                <w:rFonts w:hint="eastAsia"/>
                <w:sz w:val="16"/>
                <w:szCs w:val="16"/>
              </w:rPr>
              <w:t>１２</w:t>
            </w:r>
          </w:p>
        </w:tc>
        <w:tc>
          <w:tcPr>
            <w:tcW w:w="8906" w:type="dxa"/>
            <w:gridSpan w:val="2"/>
            <w:vAlign w:val="center"/>
          </w:tcPr>
          <w:p w14:paraId="224FBD9C" w14:textId="77777777" w:rsidR="002D74A9" w:rsidRDefault="002D74A9" w:rsidP="00D477B5">
            <w:pPr>
              <w:jc w:val="both"/>
            </w:pPr>
            <w:r w:rsidRPr="00944297">
              <w:rPr>
                <w:rFonts w:hint="eastAsia"/>
                <w:sz w:val="18"/>
                <w:szCs w:val="18"/>
              </w:rPr>
              <w:t>その他（　　　　　　　　　　　　　　　　　　　　　　　　　　　　　　　　　　　　　　　　　　　　　　　　　　　　　　　　　　　　　　）</w:t>
            </w:r>
          </w:p>
        </w:tc>
      </w:tr>
    </w:tbl>
    <w:p w14:paraId="30FFBBF6" w14:textId="77777777" w:rsidR="00EA0CDC" w:rsidRDefault="00EA0CDC" w:rsidP="00EA0CDC">
      <w:pPr>
        <w:spacing w:before="240"/>
        <w:jc w:val="center"/>
        <w:rPr>
          <w:rFonts w:ascii="HG丸ｺﾞｼｯｸM-PRO" w:eastAsia="HG丸ｺﾞｼｯｸM-PRO" w:hAnsi="HG丸ｺﾞｼｯｸM-PRO"/>
          <w:sz w:val="22"/>
          <w:szCs w:val="22"/>
          <w:u w:val="single"/>
        </w:rPr>
      </w:pPr>
      <w:r w:rsidRPr="00D81CE6">
        <w:rPr>
          <w:rFonts w:ascii="HG丸ｺﾞｼｯｸM-PRO" w:eastAsia="HG丸ｺﾞｼｯｸM-PRO" w:hAnsi="HG丸ｺﾞｼｯｸM-PRO" w:hint="eastAsia"/>
          <w:sz w:val="22"/>
          <w:szCs w:val="22"/>
          <w:u w:val="single"/>
        </w:rPr>
        <w:t>上記一覧に該当病名が見当たらない場合は、「その他」の項目へ記入してください</w:t>
      </w:r>
    </w:p>
    <w:sectPr w:rsidR="00EA0CDC" w:rsidSect="00D477B5">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4507" w14:textId="77777777" w:rsidR="00B27F38" w:rsidRDefault="00706872">
      <w:r>
        <w:separator/>
      </w:r>
    </w:p>
  </w:endnote>
  <w:endnote w:type="continuationSeparator" w:id="0">
    <w:p w14:paraId="1FBB7C6C" w14:textId="77777777" w:rsidR="00B27F38" w:rsidRDefault="0070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3643" w14:textId="77777777" w:rsidR="00B27F38" w:rsidRDefault="00706872">
      <w:r>
        <w:separator/>
      </w:r>
    </w:p>
  </w:footnote>
  <w:footnote w:type="continuationSeparator" w:id="0">
    <w:p w14:paraId="2F828FF1" w14:textId="77777777" w:rsidR="00B27F38" w:rsidRDefault="0070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3BF2" w14:textId="75EF634F" w:rsidR="00BB4BFD" w:rsidRDefault="00D8529F" w:rsidP="003A28C4">
    <w:pPr>
      <w:pStyle w:val="a3"/>
      <w:rPr>
        <w:rFonts w:ascii="HG丸ｺﾞｼｯｸM-PRO" w:eastAsia="HG丸ｺﾞｼｯｸM-PRO" w:hAnsi="HG丸ｺﾞｼｯｸM-PRO"/>
      </w:rPr>
    </w:pPr>
    <w:r w:rsidRPr="00BC077C">
      <w:rPr>
        <w:rFonts w:ascii="HG丸ｺﾞｼｯｸM-PRO" w:eastAsia="HG丸ｺﾞｼｯｸM-PRO" w:hAnsi="HG丸ｺﾞｼｯｸM-PRO" w:hint="eastAsia"/>
      </w:rPr>
      <w:t>病気が治って登園可能となった時に必要な書類です</w:t>
    </w:r>
  </w:p>
  <w:p w14:paraId="22F20EC7" w14:textId="77777777" w:rsidR="00735E19" w:rsidRPr="00BC077C" w:rsidRDefault="00735E19" w:rsidP="003A28C4">
    <w:pPr>
      <w:pStyle w:val="a3"/>
      <w:rPr>
        <w:rFonts w:ascii="HG丸ｺﾞｼｯｸM-PRO" w:eastAsia="HG丸ｺﾞｼｯｸM-PRO" w:hAnsi="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CDC"/>
    <w:rsid w:val="000F53C4"/>
    <w:rsid w:val="001C717B"/>
    <w:rsid w:val="00291028"/>
    <w:rsid w:val="002D74A9"/>
    <w:rsid w:val="00706872"/>
    <w:rsid w:val="00735E19"/>
    <w:rsid w:val="009E6814"/>
    <w:rsid w:val="00B27F38"/>
    <w:rsid w:val="00BB2549"/>
    <w:rsid w:val="00C059F4"/>
    <w:rsid w:val="00D44996"/>
    <w:rsid w:val="00D477B5"/>
    <w:rsid w:val="00D8529F"/>
    <w:rsid w:val="00EA0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7AACA9"/>
  <w15:docId w15:val="{C2ADBAAB-E015-4EAD-8018-8BC6FE23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CDC"/>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A0CDC"/>
    <w:pPr>
      <w:keepNext/>
      <w:widowControl w:val="0"/>
      <w:jc w:val="both"/>
      <w:outlineLvl w:val="0"/>
    </w:pPr>
    <w:rPr>
      <w:rFonts w:asciiTheme="majorHAnsi" w:eastAsiaTheme="majorEastAsia" w:hAnsiTheme="majorHAnsi" w:cstheme="maj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CDC"/>
    <w:rPr>
      <w:rFonts w:asciiTheme="majorHAnsi" w:eastAsiaTheme="majorEastAsia" w:hAnsiTheme="majorHAnsi" w:cstheme="majorBidi"/>
      <w:sz w:val="24"/>
      <w:szCs w:val="24"/>
    </w:rPr>
  </w:style>
  <w:style w:type="paragraph" w:styleId="a3">
    <w:name w:val="header"/>
    <w:basedOn w:val="a"/>
    <w:link w:val="a4"/>
    <w:uiPriority w:val="99"/>
    <w:unhideWhenUsed/>
    <w:rsid w:val="00EA0CDC"/>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A0CDC"/>
  </w:style>
  <w:style w:type="table" w:styleId="a5">
    <w:name w:val="Table Grid"/>
    <w:basedOn w:val="a1"/>
    <w:uiPriority w:val="59"/>
    <w:rsid w:val="00EA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B2549"/>
    <w:pPr>
      <w:tabs>
        <w:tab w:val="center" w:pos="4252"/>
        <w:tab w:val="right" w:pos="8504"/>
      </w:tabs>
      <w:snapToGrid w:val="0"/>
    </w:pPr>
  </w:style>
  <w:style w:type="character" w:customStyle="1" w:styleId="a7">
    <w:name w:val="フッター (文字)"/>
    <w:basedOn w:val="a0"/>
    <w:link w:val="a6"/>
    <w:uiPriority w:val="99"/>
    <w:rsid w:val="00BB2549"/>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Kosuzume hoikuen</cp:lastModifiedBy>
  <cp:revision>2</cp:revision>
  <dcterms:created xsi:type="dcterms:W3CDTF">2021-07-29T01:24:00Z</dcterms:created>
  <dcterms:modified xsi:type="dcterms:W3CDTF">2021-07-29T01:24:00Z</dcterms:modified>
</cp:coreProperties>
</file>